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04BF5" w14:textId="77777777" w:rsidR="00EB1165" w:rsidRDefault="00EB1165" w:rsidP="008C4388">
      <w:pPr>
        <w:rPr>
          <w:b/>
          <w:sz w:val="24"/>
        </w:rPr>
      </w:pPr>
    </w:p>
    <w:p w14:paraId="22BA2E55" w14:textId="771E8E9C" w:rsidR="00774D4F" w:rsidRDefault="008C4388" w:rsidP="008C4388">
      <w:pPr>
        <w:rPr>
          <w:bCs/>
          <w:sz w:val="24"/>
        </w:rPr>
      </w:pPr>
      <w:r>
        <w:rPr>
          <w:b/>
          <w:sz w:val="24"/>
        </w:rPr>
        <w:t>TO:</w:t>
      </w:r>
      <w:r>
        <w:rPr>
          <w:b/>
          <w:sz w:val="24"/>
        </w:rPr>
        <w:tab/>
      </w:r>
      <w:r>
        <w:rPr>
          <w:b/>
          <w:sz w:val="24"/>
        </w:rPr>
        <w:tab/>
      </w:r>
      <w:r w:rsidR="00774D4F">
        <w:rPr>
          <w:bCs/>
          <w:sz w:val="24"/>
        </w:rPr>
        <w:t>David Berlin</w:t>
      </w:r>
      <w:r w:rsidRPr="00F80CF8">
        <w:rPr>
          <w:bCs/>
          <w:sz w:val="24"/>
        </w:rPr>
        <w:t>,</w:t>
      </w:r>
      <w:r w:rsidR="00774D4F">
        <w:rPr>
          <w:bCs/>
          <w:sz w:val="24"/>
        </w:rPr>
        <w:t xml:space="preserve"> Attorney</w:t>
      </w:r>
      <w:r w:rsidRPr="00F80CF8">
        <w:rPr>
          <w:bCs/>
          <w:sz w:val="24"/>
        </w:rPr>
        <w:t xml:space="preserve"> </w:t>
      </w:r>
    </w:p>
    <w:p w14:paraId="46A98B67" w14:textId="6D59A274" w:rsidR="008C4388" w:rsidRDefault="008C4388" w:rsidP="00774D4F">
      <w:pPr>
        <w:ind w:left="720" w:firstLine="720"/>
        <w:rPr>
          <w:sz w:val="24"/>
        </w:rPr>
      </w:pPr>
      <w:r w:rsidRPr="00F80CF8">
        <w:rPr>
          <w:bCs/>
          <w:sz w:val="24"/>
        </w:rPr>
        <w:t>Legal Division</w:t>
      </w:r>
    </w:p>
    <w:p w14:paraId="7155D597" w14:textId="77777777" w:rsidR="008C4388" w:rsidRDefault="008C4388" w:rsidP="008C4388">
      <w:pPr>
        <w:tabs>
          <w:tab w:val="left" w:pos="1170"/>
        </w:tabs>
        <w:rPr>
          <w:sz w:val="24"/>
        </w:rPr>
      </w:pPr>
      <w:r>
        <w:rPr>
          <w:sz w:val="24"/>
        </w:rPr>
        <w:tab/>
      </w:r>
      <w:r>
        <w:rPr>
          <w:sz w:val="24"/>
        </w:rPr>
        <w:tab/>
      </w:r>
    </w:p>
    <w:p w14:paraId="54C905ED" w14:textId="2435A8F5" w:rsidR="004320E7" w:rsidRDefault="008C4388" w:rsidP="008C4388">
      <w:pPr>
        <w:tabs>
          <w:tab w:val="left" w:pos="1170"/>
        </w:tabs>
        <w:outlineLvl w:val="0"/>
        <w:rPr>
          <w:bCs/>
          <w:sz w:val="24"/>
        </w:rPr>
      </w:pPr>
      <w:r>
        <w:rPr>
          <w:b/>
          <w:sz w:val="24"/>
        </w:rPr>
        <w:t>FROM:</w:t>
      </w:r>
      <w:r>
        <w:rPr>
          <w:b/>
          <w:sz w:val="24"/>
        </w:rPr>
        <w:tab/>
      </w:r>
      <w:r>
        <w:rPr>
          <w:b/>
          <w:sz w:val="24"/>
        </w:rPr>
        <w:tab/>
      </w:r>
      <w:r w:rsidR="00275785">
        <w:rPr>
          <w:bCs/>
          <w:sz w:val="24"/>
        </w:rPr>
        <w:t>D. Gage</w:t>
      </w:r>
      <w:r>
        <w:rPr>
          <w:bCs/>
          <w:sz w:val="24"/>
        </w:rPr>
        <w:t xml:space="preserve"> Holt</w:t>
      </w:r>
      <w:r w:rsidRPr="00F80CF8">
        <w:rPr>
          <w:bCs/>
          <w:sz w:val="24"/>
        </w:rPr>
        <w:t xml:space="preserve">, </w:t>
      </w:r>
      <w:r w:rsidR="00774D4F">
        <w:rPr>
          <w:bCs/>
          <w:sz w:val="24"/>
        </w:rPr>
        <w:t>Rate Analyst</w:t>
      </w:r>
    </w:p>
    <w:p w14:paraId="04F006A2" w14:textId="6329EFEA" w:rsidR="008C4388" w:rsidRDefault="004320E7" w:rsidP="008C4388">
      <w:pPr>
        <w:tabs>
          <w:tab w:val="left" w:pos="1170"/>
        </w:tabs>
        <w:outlineLvl w:val="0"/>
        <w:rPr>
          <w:sz w:val="24"/>
        </w:rPr>
      </w:pPr>
      <w:r>
        <w:rPr>
          <w:bCs/>
          <w:sz w:val="24"/>
        </w:rPr>
        <w:tab/>
      </w:r>
      <w:r>
        <w:rPr>
          <w:bCs/>
          <w:sz w:val="24"/>
        </w:rPr>
        <w:tab/>
      </w:r>
      <w:r w:rsidR="008C4388" w:rsidRPr="00F80CF8">
        <w:rPr>
          <w:bCs/>
          <w:sz w:val="24"/>
        </w:rPr>
        <w:t>Rate Regulation Division</w:t>
      </w:r>
    </w:p>
    <w:p w14:paraId="073B233C" w14:textId="1B1C9603" w:rsidR="008C4388" w:rsidRDefault="008C4388" w:rsidP="008C4388">
      <w:pPr>
        <w:tabs>
          <w:tab w:val="left" w:pos="1170"/>
        </w:tabs>
        <w:spacing w:before="240"/>
        <w:rPr>
          <w:sz w:val="24"/>
        </w:rPr>
      </w:pPr>
      <w:r>
        <w:rPr>
          <w:b/>
          <w:sz w:val="24"/>
        </w:rPr>
        <w:t>DATE:</w:t>
      </w:r>
      <w:r>
        <w:rPr>
          <w:b/>
          <w:sz w:val="24"/>
        </w:rPr>
        <w:tab/>
      </w:r>
      <w:r>
        <w:rPr>
          <w:b/>
          <w:sz w:val="24"/>
        </w:rPr>
        <w:tab/>
      </w:r>
      <w:r w:rsidR="00774D4F">
        <w:rPr>
          <w:bCs/>
          <w:sz w:val="24"/>
        </w:rPr>
        <w:t>May 30, 2025</w:t>
      </w:r>
    </w:p>
    <w:p w14:paraId="02C378FC" w14:textId="3FE5BD20" w:rsidR="008C4388" w:rsidRDefault="008C4388" w:rsidP="001C4D64">
      <w:pPr>
        <w:spacing w:before="240"/>
        <w:ind w:left="1440" w:right="20" w:hanging="1440"/>
        <w:rPr>
          <w:b/>
          <w:i/>
          <w:sz w:val="24"/>
          <w:szCs w:val="24"/>
        </w:rPr>
      </w:pPr>
      <w:r>
        <w:rPr>
          <w:b/>
          <w:sz w:val="24"/>
        </w:rPr>
        <w:t>RE:</w:t>
      </w:r>
      <w:r>
        <w:rPr>
          <w:b/>
          <w:sz w:val="24"/>
        </w:rPr>
        <w:tab/>
      </w:r>
      <w:r w:rsidR="00DB6A64" w:rsidRPr="00DB6A64">
        <w:rPr>
          <w:b/>
          <w:sz w:val="24"/>
          <w:szCs w:val="24"/>
        </w:rPr>
        <w:t>Tariff Control No.</w:t>
      </w:r>
      <w:r w:rsidRPr="00E62FE0">
        <w:rPr>
          <w:b/>
          <w:sz w:val="24"/>
          <w:szCs w:val="24"/>
        </w:rPr>
        <w:t xml:space="preserve"> 5</w:t>
      </w:r>
      <w:r w:rsidR="00275785">
        <w:rPr>
          <w:b/>
          <w:sz w:val="24"/>
          <w:szCs w:val="24"/>
        </w:rPr>
        <w:t>8113</w:t>
      </w:r>
      <w:r w:rsidRPr="002F7932">
        <w:rPr>
          <w:b/>
          <w:i/>
          <w:iCs/>
          <w:sz w:val="24"/>
          <w:szCs w:val="24"/>
        </w:rPr>
        <w:t xml:space="preserve"> </w:t>
      </w:r>
      <w:r w:rsidRPr="00E62FE0">
        <w:rPr>
          <w:bCs/>
          <w:sz w:val="24"/>
          <w:szCs w:val="24"/>
        </w:rPr>
        <w:t>–</w:t>
      </w:r>
      <w:r w:rsidRPr="002F7932">
        <w:rPr>
          <w:b/>
          <w:i/>
          <w:iCs/>
          <w:sz w:val="24"/>
          <w:szCs w:val="24"/>
        </w:rPr>
        <w:t xml:space="preserve"> </w:t>
      </w:r>
      <w:r w:rsidR="00774D4F">
        <w:rPr>
          <w:bCs/>
          <w:i/>
          <w:iCs/>
          <w:sz w:val="24"/>
          <w:szCs w:val="24"/>
        </w:rPr>
        <w:t xml:space="preserve">Interim </w:t>
      </w:r>
      <w:r w:rsidRPr="008C4388">
        <w:rPr>
          <w:bCs/>
          <w:i/>
          <w:iCs/>
          <w:sz w:val="24"/>
          <w:szCs w:val="24"/>
        </w:rPr>
        <w:t xml:space="preserve">True-Up Compliance Filing </w:t>
      </w:r>
      <w:r>
        <w:rPr>
          <w:bCs/>
          <w:i/>
          <w:iCs/>
          <w:sz w:val="24"/>
          <w:szCs w:val="24"/>
        </w:rPr>
        <w:t>for</w:t>
      </w:r>
      <w:r w:rsidRPr="008C4388">
        <w:rPr>
          <w:bCs/>
          <w:i/>
          <w:iCs/>
          <w:sz w:val="24"/>
          <w:szCs w:val="24"/>
        </w:rPr>
        <w:t xml:space="preserve"> </w:t>
      </w:r>
      <w:r>
        <w:rPr>
          <w:bCs/>
          <w:i/>
          <w:iCs/>
          <w:sz w:val="24"/>
          <w:szCs w:val="24"/>
        </w:rPr>
        <w:t>AEP</w:t>
      </w:r>
      <w:r w:rsidRPr="008C4388">
        <w:rPr>
          <w:bCs/>
          <w:i/>
          <w:iCs/>
          <w:sz w:val="24"/>
          <w:szCs w:val="24"/>
        </w:rPr>
        <w:t xml:space="preserve"> Texas Inc. Concerning Rider </w:t>
      </w:r>
      <w:r>
        <w:rPr>
          <w:bCs/>
          <w:i/>
          <w:iCs/>
          <w:sz w:val="24"/>
          <w:szCs w:val="24"/>
        </w:rPr>
        <w:t>SRC</w:t>
      </w:r>
      <w:r w:rsidRPr="008C4388">
        <w:rPr>
          <w:bCs/>
          <w:i/>
          <w:iCs/>
          <w:sz w:val="24"/>
          <w:szCs w:val="24"/>
        </w:rPr>
        <w:t xml:space="preserve"> - System Restoration Charge Factors</w:t>
      </w:r>
    </w:p>
    <w:p w14:paraId="7FB4F229" w14:textId="38763EB1" w:rsidR="000327B3" w:rsidRPr="00FD65A3" w:rsidRDefault="008C4388" w:rsidP="00FD65A3">
      <w:pPr>
        <w:tabs>
          <w:tab w:val="left" w:pos="1170"/>
        </w:tabs>
        <w:ind w:left="1170" w:right="-450" w:hanging="1170"/>
        <w:rPr>
          <w:sz w:val="24"/>
        </w:rPr>
      </w:pPr>
      <w:r>
        <w:rPr>
          <w:noProof/>
        </w:rPr>
        <mc:AlternateContent>
          <mc:Choice Requires="wps">
            <w:drawing>
              <wp:anchor distT="4294967289" distB="4294967289" distL="114300" distR="114300" simplePos="0" relativeHeight="251661312" behindDoc="0" locked="0" layoutInCell="1" allowOverlap="1" wp14:anchorId="26A0E930" wp14:editId="061EAD9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B0AA6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6131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Pr>
          <w:sz w:val="24"/>
        </w:rPr>
        <w:tab/>
      </w:r>
    </w:p>
    <w:p w14:paraId="2629DF47" w14:textId="77777777" w:rsidR="00B904D3" w:rsidRPr="0008662A" w:rsidRDefault="00B904D3" w:rsidP="000327B3">
      <w:pPr>
        <w:pStyle w:val="BodyText"/>
        <w:spacing w:line="360" w:lineRule="auto"/>
        <w:jc w:val="center"/>
        <w:rPr>
          <w:b/>
          <w:bCs/>
          <w:u w:val="single"/>
        </w:rPr>
      </w:pPr>
    </w:p>
    <w:p w14:paraId="5A43117C" w14:textId="58CF00C7" w:rsidR="00675FF1" w:rsidRDefault="003B022E" w:rsidP="000327B3">
      <w:pPr>
        <w:pStyle w:val="BodyText"/>
        <w:spacing w:line="360" w:lineRule="auto"/>
        <w:jc w:val="both"/>
      </w:pPr>
      <w:r w:rsidRPr="0073590A">
        <w:t xml:space="preserve">On </w:t>
      </w:r>
      <w:r w:rsidR="007B2928">
        <w:t>May 15</w:t>
      </w:r>
      <w:r w:rsidR="00AF642A">
        <w:t>, 202</w:t>
      </w:r>
      <w:r w:rsidR="007B2928">
        <w:t>2</w:t>
      </w:r>
      <w:r w:rsidR="00E374A1" w:rsidRPr="0073590A">
        <w:t xml:space="preserve">, AEP Texas Inc. (AEP Texas) filed </w:t>
      </w:r>
      <w:r w:rsidR="00A63C2C">
        <w:t xml:space="preserve">for </w:t>
      </w:r>
      <w:r w:rsidR="00D95869">
        <w:t xml:space="preserve">an </w:t>
      </w:r>
      <w:r w:rsidR="00C03832">
        <w:t>I</w:t>
      </w:r>
      <w:r w:rsidR="00D95869">
        <w:t>nterim</w:t>
      </w:r>
      <w:r w:rsidR="00E374A1" w:rsidRPr="0073590A">
        <w:t xml:space="preserve"> </w:t>
      </w:r>
      <w:r w:rsidR="00C03832">
        <w:t>T</w:t>
      </w:r>
      <w:r w:rsidR="00E374A1" w:rsidRPr="0073590A">
        <w:t>rue-</w:t>
      </w:r>
      <w:r w:rsidR="00C03832">
        <w:t>U</w:t>
      </w:r>
      <w:r w:rsidR="00E374A1" w:rsidRPr="0073590A">
        <w:t xml:space="preserve">p </w:t>
      </w:r>
      <w:r w:rsidR="00C03832">
        <w:t>C</w:t>
      </w:r>
      <w:r w:rsidR="009C585E">
        <w:t xml:space="preserve">ompliance </w:t>
      </w:r>
      <w:r w:rsidR="00C03832">
        <w:t>F</w:t>
      </w:r>
      <w:r w:rsidR="009C585E">
        <w:t xml:space="preserve">iling concerning </w:t>
      </w:r>
      <w:r w:rsidR="0027501B">
        <w:t xml:space="preserve">Rider SRC - </w:t>
      </w:r>
      <w:r w:rsidR="009C585E">
        <w:t>System Restoration Charge Factors</w:t>
      </w:r>
      <w:r w:rsidR="00C03832">
        <w:t xml:space="preserve"> (Application</w:t>
      </w:r>
      <w:r w:rsidR="00491F49">
        <w:t>)</w:t>
      </w:r>
      <w:r w:rsidR="009C585E">
        <w:t xml:space="preserve">, </w:t>
      </w:r>
      <w:r w:rsidR="00E374A1" w:rsidRPr="0073590A">
        <w:t xml:space="preserve">in accordance with </w:t>
      </w:r>
      <w:r w:rsidR="00491F49">
        <w:t xml:space="preserve">the </w:t>
      </w:r>
      <w:r w:rsidR="002C3348">
        <w:t>f</w:t>
      </w:r>
      <w:r w:rsidR="00E374A1" w:rsidRPr="0073590A">
        <w:t xml:space="preserve">inancing </w:t>
      </w:r>
      <w:r w:rsidR="002C3348">
        <w:t>o</w:t>
      </w:r>
      <w:r w:rsidR="00E374A1" w:rsidRPr="0073590A">
        <w:t>rder in Docket No. 49308</w:t>
      </w:r>
      <w:r w:rsidR="00491F49">
        <w:t xml:space="preserve"> (Financing Order)</w:t>
      </w:r>
      <w:r w:rsidR="00AD4DC3">
        <w:t>.</w:t>
      </w:r>
      <w:r w:rsidR="00AD4DC3">
        <w:rPr>
          <w:rStyle w:val="FootnoteReference"/>
        </w:rPr>
        <w:footnoteReference w:id="1"/>
      </w:r>
      <w:r w:rsidR="00750AD7" w:rsidRPr="0055633D">
        <w:t xml:space="preserve"> </w:t>
      </w:r>
    </w:p>
    <w:p w14:paraId="2FCF2E1E" w14:textId="77777777" w:rsidR="00320012" w:rsidRPr="00320012" w:rsidRDefault="00320012" w:rsidP="000327B3">
      <w:pPr>
        <w:pStyle w:val="BodyText"/>
        <w:spacing w:line="360" w:lineRule="auto"/>
        <w:jc w:val="both"/>
      </w:pPr>
    </w:p>
    <w:p w14:paraId="62B957DC" w14:textId="570E9C52" w:rsidR="00677D15" w:rsidRDefault="0062712E" w:rsidP="00FD3488">
      <w:pPr>
        <w:pStyle w:val="BodyText"/>
        <w:spacing w:line="360" w:lineRule="auto"/>
        <w:jc w:val="both"/>
      </w:pPr>
      <w:r>
        <w:t xml:space="preserve">In its </w:t>
      </w:r>
      <w:r w:rsidR="00BE1991">
        <w:t>A</w:t>
      </w:r>
      <w:r>
        <w:t xml:space="preserve">pplication, AEP </w:t>
      </w:r>
      <w:r w:rsidR="0016103F">
        <w:t xml:space="preserve">Texas states that they expect system restoration charge collections by the date of the next bond payment, August 1, 2025, to be insufficient </w:t>
      </w:r>
      <w:r w:rsidR="002557EF">
        <w:t>unless the capital subaccount is drawn upon.</w:t>
      </w:r>
      <w:r w:rsidR="006541E0">
        <w:rPr>
          <w:rStyle w:val="FootnoteReference"/>
        </w:rPr>
        <w:footnoteReference w:id="2"/>
      </w:r>
      <w:r w:rsidR="002557EF">
        <w:t xml:space="preserve"> </w:t>
      </w:r>
      <w:r w:rsidR="00BE1991">
        <w:t xml:space="preserve">Findings of Fact Nos. 83-84 of the Financing Order set forth the interim true-up adjustment procedures. Finding of Fact No. 83 states that in addition to the required annual true-up pursuant to Findings of Fact Nos. 80-82, true-up adjustments may be made by the servicer more frequently at any time during the term of the system restoration bonds to correct any under collection or overcollection in order to assure timely payment of system restoration bonds based on rating agency and bondholder considerations. </w:t>
      </w:r>
      <w:r w:rsidR="002118E5">
        <w:t>In accordance with the Financing Order</w:t>
      </w:r>
      <w:r w:rsidR="00C9687A">
        <w:t xml:space="preserve">, AEP Texas </w:t>
      </w:r>
      <w:r w:rsidR="000404BD">
        <w:t xml:space="preserve">filed for an interim true-up compliance filing and </w:t>
      </w:r>
      <w:r w:rsidR="00C9687A">
        <w:t xml:space="preserve">proposed </w:t>
      </w:r>
      <w:r w:rsidR="00EE48C3">
        <w:t xml:space="preserve">revised rates for </w:t>
      </w:r>
      <w:r w:rsidR="00EE48C3" w:rsidRPr="005E2792">
        <w:rPr>
          <w:i/>
          <w:iCs/>
        </w:rPr>
        <w:t>6.1.1.4.</w:t>
      </w:r>
      <w:r w:rsidR="00D70553">
        <w:rPr>
          <w:i/>
          <w:iCs/>
        </w:rPr>
        <w:t>6</w:t>
      </w:r>
      <w:r w:rsidR="00EE48C3" w:rsidRPr="005E2792">
        <w:rPr>
          <w:i/>
          <w:iCs/>
        </w:rPr>
        <w:t>.1. Rider SRC System Restoration Charge Factors (</w:t>
      </w:r>
      <w:r w:rsidR="00490D50">
        <w:rPr>
          <w:i/>
          <w:iCs/>
        </w:rPr>
        <w:t>Eighth</w:t>
      </w:r>
      <w:r w:rsidR="00EE48C3" w:rsidRPr="005E2792">
        <w:rPr>
          <w:i/>
          <w:iCs/>
        </w:rPr>
        <w:t xml:space="preserve"> Revision)</w:t>
      </w:r>
      <w:r w:rsidR="00EE48C3">
        <w:t>.</w:t>
      </w:r>
    </w:p>
    <w:p w14:paraId="2D8E3D41" w14:textId="77777777" w:rsidR="00B904D3" w:rsidRPr="00675FF1" w:rsidRDefault="00B904D3" w:rsidP="00FD65A3">
      <w:pPr>
        <w:pStyle w:val="BodyText"/>
        <w:spacing w:line="360" w:lineRule="auto"/>
        <w:rPr>
          <w:b/>
          <w:bCs/>
          <w:u w:val="single"/>
        </w:rPr>
      </w:pPr>
    </w:p>
    <w:p w14:paraId="6C5BE38D" w14:textId="2F6D26A0" w:rsidR="0073590A" w:rsidRPr="0073590A" w:rsidRDefault="00546AF3" w:rsidP="007177B7">
      <w:pPr>
        <w:pStyle w:val="BodyText"/>
        <w:spacing w:line="360" w:lineRule="auto"/>
        <w:jc w:val="both"/>
      </w:pPr>
      <w:r w:rsidRPr="0073590A">
        <w:t>This memo</w:t>
      </w:r>
      <w:r w:rsidR="00043046">
        <w:t>randum</w:t>
      </w:r>
      <w:r w:rsidRPr="0073590A">
        <w:t xml:space="preserve"> </w:t>
      </w:r>
      <w:r w:rsidR="00043046">
        <w:t>presents</w:t>
      </w:r>
      <w:r w:rsidRPr="0073590A">
        <w:t xml:space="preserve"> Staff’s </w:t>
      </w:r>
      <w:r w:rsidR="00043046">
        <w:t xml:space="preserve">recommendation regarding </w:t>
      </w:r>
      <w:r w:rsidR="00FE743E">
        <w:t>the mathematical accuracy of</w:t>
      </w:r>
      <w:r w:rsidRPr="0073590A">
        <w:t xml:space="preserve"> AEP’s </w:t>
      </w:r>
      <w:r w:rsidR="003E58E5">
        <w:t>application</w:t>
      </w:r>
      <w:r w:rsidR="00D16D69" w:rsidRPr="0073590A">
        <w:t xml:space="preserve">. I </w:t>
      </w:r>
      <w:r w:rsidR="00CC1993">
        <w:t>h</w:t>
      </w:r>
      <w:r w:rsidR="00D16D69" w:rsidRPr="0073590A">
        <w:t xml:space="preserve">ave reviewed AEP Texas’s filing and determined that the proposed rates in </w:t>
      </w:r>
      <w:r w:rsidR="00D16D69" w:rsidRPr="005E2792">
        <w:rPr>
          <w:i/>
          <w:iCs/>
        </w:rPr>
        <w:t>6.1.1.4.</w:t>
      </w:r>
      <w:r w:rsidR="00D70553">
        <w:rPr>
          <w:i/>
          <w:iCs/>
        </w:rPr>
        <w:t>6</w:t>
      </w:r>
      <w:r w:rsidR="00D16D69" w:rsidRPr="005E2792">
        <w:rPr>
          <w:i/>
          <w:iCs/>
        </w:rPr>
        <w:t>.1. Rider SRC System Restoration Charge Factors (</w:t>
      </w:r>
      <w:r w:rsidR="00490D50">
        <w:rPr>
          <w:i/>
          <w:iCs/>
        </w:rPr>
        <w:t>Eighth</w:t>
      </w:r>
      <w:r w:rsidR="00D16D69" w:rsidRPr="005E2792">
        <w:rPr>
          <w:i/>
          <w:iCs/>
        </w:rPr>
        <w:t xml:space="preserve"> Revision)</w:t>
      </w:r>
      <w:r w:rsidR="00127806" w:rsidRPr="005E2792">
        <w:rPr>
          <w:i/>
          <w:iCs/>
        </w:rPr>
        <w:t xml:space="preserve"> </w:t>
      </w:r>
      <w:r w:rsidR="00127806" w:rsidRPr="0073590A">
        <w:t xml:space="preserve">were correctly calculated and reflect the necessary adjustments to ensure adequate funds for the payment of Hurricane Harvey system restoration. I therefore recommend that the proposed </w:t>
      </w:r>
      <w:r w:rsidR="00127806" w:rsidRPr="005E2792">
        <w:rPr>
          <w:i/>
          <w:iCs/>
        </w:rPr>
        <w:t>6.1.1.4.</w:t>
      </w:r>
      <w:r w:rsidR="00D70553">
        <w:rPr>
          <w:i/>
          <w:iCs/>
        </w:rPr>
        <w:t>6</w:t>
      </w:r>
      <w:r w:rsidR="00127806" w:rsidRPr="005E2792">
        <w:rPr>
          <w:i/>
          <w:iCs/>
        </w:rPr>
        <w:t xml:space="preserve">.1 </w:t>
      </w:r>
      <w:r w:rsidR="003037B3" w:rsidRPr="005E2792">
        <w:rPr>
          <w:i/>
          <w:iCs/>
        </w:rPr>
        <w:t>–</w:t>
      </w:r>
      <w:r w:rsidR="00127806" w:rsidRPr="005E2792">
        <w:rPr>
          <w:i/>
          <w:iCs/>
        </w:rPr>
        <w:t xml:space="preserve"> </w:t>
      </w:r>
      <w:r w:rsidR="003037B3" w:rsidRPr="005E2792">
        <w:rPr>
          <w:i/>
          <w:iCs/>
        </w:rPr>
        <w:t xml:space="preserve">Rider SRC – System Restoration </w:t>
      </w:r>
      <w:r w:rsidR="003037B3" w:rsidRPr="005E2792">
        <w:rPr>
          <w:i/>
          <w:iCs/>
        </w:rPr>
        <w:lastRenderedPageBreak/>
        <w:t>Charge Factors (</w:t>
      </w:r>
      <w:r w:rsidR="00490D50">
        <w:rPr>
          <w:i/>
          <w:iCs/>
        </w:rPr>
        <w:t>Eighth</w:t>
      </w:r>
      <w:r w:rsidR="003037B3" w:rsidRPr="005E2792">
        <w:rPr>
          <w:i/>
          <w:iCs/>
        </w:rPr>
        <w:t xml:space="preserve"> Revision)</w:t>
      </w:r>
      <w:r w:rsidR="007B7173">
        <w:rPr>
          <w:i/>
          <w:iCs/>
        </w:rPr>
        <w:t xml:space="preserve">, </w:t>
      </w:r>
      <w:r w:rsidR="007B7173" w:rsidRPr="007B7173">
        <w:t>as included in</w:t>
      </w:r>
      <w:r w:rsidR="007B7173">
        <w:rPr>
          <w:i/>
          <w:iCs/>
        </w:rPr>
        <w:t xml:space="preserve"> </w:t>
      </w:r>
      <w:r w:rsidR="003037B3" w:rsidRPr="0073590A">
        <w:t xml:space="preserve">Attachment 6 of the </w:t>
      </w:r>
      <w:r w:rsidR="00E31842">
        <w:t xml:space="preserve">Interim </w:t>
      </w:r>
      <w:r w:rsidR="003037B3" w:rsidRPr="0073590A">
        <w:t xml:space="preserve">True-Up Compliance Filing, be approved as filed with an effective date of bills </w:t>
      </w:r>
      <w:r w:rsidR="003037B3" w:rsidRPr="00EB1165">
        <w:t xml:space="preserve">rendered on or after </w:t>
      </w:r>
      <w:r w:rsidR="007A4186">
        <w:t>May</w:t>
      </w:r>
      <w:r w:rsidR="00890F0A" w:rsidRPr="00EB1165">
        <w:t xml:space="preserve"> </w:t>
      </w:r>
      <w:r w:rsidR="007A4186">
        <w:t>30</w:t>
      </w:r>
      <w:r w:rsidR="00514C7D" w:rsidRPr="00EB1165">
        <w:t>,</w:t>
      </w:r>
      <w:r w:rsidR="007A7FF0" w:rsidRPr="00EB1165">
        <w:t xml:space="preserve"> 202</w:t>
      </w:r>
      <w:r w:rsidR="007A4186">
        <w:t>5</w:t>
      </w:r>
      <w:r w:rsidR="0073590A" w:rsidRPr="00EB1165">
        <w:t>.</w:t>
      </w:r>
    </w:p>
    <w:p w14:paraId="02EB2A34" w14:textId="77777777" w:rsidR="00677D15" w:rsidRDefault="0073590A" w:rsidP="007177B7">
      <w:pPr>
        <w:pStyle w:val="BodyText"/>
        <w:spacing w:line="360" w:lineRule="auto"/>
        <w:jc w:val="both"/>
      </w:pPr>
      <w:r w:rsidRPr="0073590A">
        <w:tab/>
      </w:r>
    </w:p>
    <w:p w14:paraId="69B544A6" w14:textId="7AF1B9D1" w:rsidR="00546AF3" w:rsidRPr="0073590A" w:rsidRDefault="0073590A" w:rsidP="007177B7">
      <w:pPr>
        <w:pStyle w:val="BodyText"/>
        <w:spacing w:line="360" w:lineRule="auto"/>
        <w:jc w:val="both"/>
      </w:pPr>
      <w:r w:rsidRPr="0073590A">
        <w:t xml:space="preserve">I further recommend that AEP Texas be required to file </w:t>
      </w:r>
      <w:r w:rsidR="00E31842">
        <w:t xml:space="preserve">a </w:t>
      </w:r>
      <w:r w:rsidRPr="0073590A">
        <w:t>“clean” cop</w:t>
      </w:r>
      <w:r w:rsidR="00E31842">
        <w:t>y</w:t>
      </w:r>
      <w:r w:rsidRPr="0073590A">
        <w:t xml:space="preserve"> of </w:t>
      </w:r>
      <w:r w:rsidRPr="005E2792">
        <w:rPr>
          <w:i/>
          <w:iCs/>
        </w:rPr>
        <w:t>6.1.1.4.</w:t>
      </w:r>
      <w:r w:rsidR="00D70553">
        <w:rPr>
          <w:i/>
          <w:iCs/>
        </w:rPr>
        <w:t>6</w:t>
      </w:r>
      <w:r w:rsidRPr="005E2792">
        <w:rPr>
          <w:i/>
          <w:iCs/>
        </w:rPr>
        <w:t>.1 Rider SRC – System Restoration Charge Factors (</w:t>
      </w:r>
      <w:r w:rsidR="00490D50">
        <w:rPr>
          <w:i/>
          <w:iCs/>
        </w:rPr>
        <w:t>Eighth</w:t>
      </w:r>
      <w:r w:rsidRPr="005E2792">
        <w:rPr>
          <w:i/>
          <w:iCs/>
        </w:rPr>
        <w:t xml:space="preserve"> Revision)</w:t>
      </w:r>
      <w:r w:rsidRPr="0073590A">
        <w:t xml:space="preserve">, to be stamped “Approved” by the Commission’s Central Records Division and retained for future reference. </w:t>
      </w:r>
      <w:r w:rsidR="006976A2" w:rsidRPr="0073590A">
        <w:t xml:space="preserve"> </w:t>
      </w:r>
    </w:p>
    <w:p w14:paraId="366314EF" w14:textId="77777777" w:rsidR="00C4628E" w:rsidRDefault="00C4628E" w:rsidP="007177B7">
      <w:pPr>
        <w:pStyle w:val="BodyText"/>
        <w:spacing w:line="360" w:lineRule="auto"/>
        <w:rPr>
          <w:sz w:val="20"/>
        </w:rPr>
      </w:pPr>
    </w:p>
    <w:p w14:paraId="7A906213" w14:textId="77777777" w:rsidR="00C4628E" w:rsidRDefault="00C4628E" w:rsidP="007177B7">
      <w:pPr>
        <w:pStyle w:val="BodyText"/>
        <w:spacing w:line="360" w:lineRule="auto"/>
        <w:rPr>
          <w:sz w:val="20"/>
        </w:rPr>
      </w:pPr>
    </w:p>
    <w:p w14:paraId="390523E8" w14:textId="77777777" w:rsidR="00C4628E" w:rsidRDefault="00C4628E" w:rsidP="007177B7">
      <w:pPr>
        <w:pStyle w:val="BodyText"/>
        <w:spacing w:line="360" w:lineRule="auto"/>
        <w:rPr>
          <w:sz w:val="20"/>
        </w:rPr>
      </w:pPr>
    </w:p>
    <w:p w14:paraId="3A3871DB" w14:textId="77777777" w:rsidR="00C4628E" w:rsidRDefault="00C4628E" w:rsidP="007177B7">
      <w:pPr>
        <w:pStyle w:val="BodyText"/>
        <w:spacing w:line="360" w:lineRule="auto"/>
        <w:rPr>
          <w:sz w:val="20"/>
        </w:rPr>
      </w:pPr>
    </w:p>
    <w:p w14:paraId="7279D6BC" w14:textId="77777777" w:rsidR="00C4628E" w:rsidRDefault="00C4628E" w:rsidP="007177B7">
      <w:pPr>
        <w:pStyle w:val="BodyText"/>
        <w:spacing w:line="360" w:lineRule="auto"/>
        <w:rPr>
          <w:sz w:val="20"/>
        </w:rPr>
      </w:pPr>
    </w:p>
    <w:p w14:paraId="1058CF76" w14:textId="77777777" w:rsidR="00C4628E" w:rsidRDefault="00C4628E" w:rsidP="007177B7">
      <w:pPr>
        <w:pStyle w:val="BodyText"/>
        <w:spacing w:line="360" w:lineRule="auto"/>
        <w:rPr>
          <w:sz w:val="20"/>
        </w:rPr>
      </w:pPr>
    </w:p>
    <w:p w14:paraId="4E544D1E" w14:textId="77777777" w:rsidR="00C4628E" w:rsidRDefault="00C4628E" w:rsidP="007177B7">
      <w:pPr>
        <w:pStyle w:val="BodyText"/>
        <w:spacing w:line="360" w:lineRule="auto"/>
        <w:rPr>
          <w:sz w:val="20"/>
        </w:rPr>
      </w:pPr>
    </w:p>
    <w:p w14:paraId="31C685E5" w14:textId="77777777" w:rsidR="00C4628E" w:rsidRDefault="00C4628E" w:rsidP="007177B7">
      <w:pPr>
        <w:pStyle w:val="BodyText"/>
        <w:spacing w:line="360" w:lineRule="auto"/>
        <w:rPr>
          <w:sz w:val="20"/>
        </w:rPr>
      </w:pPr>
    </w:p>
    <w:p w14:paraId="5C06AC0D" w14:textId="77777777" w:rsidR="00C4628E" w:rsidRDefault="00C4628E" w:rsidP="007177B7">
      <w:pPr>
        <w:pStyle w:val="BodyText"/>
        <w:spacing w:line="360" w:lineRule="auto"/>
        <w:rPr>
          <w:sz w:val="20"/>
        </w:rPr>
      </w:pPr>
    </w:p>
    <w:p w14:paraId="2553DEDB" w14:textId="77777777" w:rsidR="00C4628E" w:rsidRDefault="00C4628E" w:rsidP="007177B7">
      <w:pPr>
        <w:pStyle w:val="BodyText"/>
        <w:spacing w:line="360" w:lineRule="auto"/>
        <w:rPr>
          <w:sz w:val="20"/>
        </w:rPr>
      </w:pPr>
    </w:p>
    <w:p w14:paraId="1A7ECE24" w14:textId="77777777" w:rsidR="00C4628E" w:rsidRDefault="00C4628E" w:rsidP="007177B7">
      <w:pPr>
        <w:pStyle w:val="BodyText"/>
        <w:spacing w:line="360" w:lineRule="auto"/>
        <w:rPr>
          <w:sz w:val="20"/>
        </w:rPr>
      </w:pPr>
    </w:p>
    <w:p w14:paraId="3D4C765F" w14:textId="77777777" w:rsidR="00C4628E" w:rsidRDefault="00C4628E" w:rsidP="007177B7">
      <w:pPr>
        <w:pStyle w:val="BodyText"/>
        <w:spacing w:line="360" w:lineRule="auto"/>
        <w:rPr>
          <w:sz w:val="20"/>
        </w:rPr>
      </w:pPr>
    </w:p>
    <w:p w14:paraId="16C39939" w14:textId="77777777" w:rsidR="00C4628E" w:rsidRDefault="00C4628E" w:rsidP="007177B7">
      <w:pPr>
        <w:pStyle w:val="BodyText"/>
        <w:spacing w:line="360" w:lineRule="auto"/>
        <w:rPr>
          <w:sz w:val="20"/>
        </w:rPr>
      </w:pPr>
    </w:p>
    <w:p w14:paraId="0B72B69D" w14:textId="77777777" w:rsidR="00C4628E" w:rsidRDefault="00C4628E" w:rsidP="007177B7">
      <w:pPr>
        <w:pStyle w:val="BodyText"/>
        <w:spacing w:line="360" w:lineRule="auto"/>
        <w:rPr>
          <w:sz w:val="20"/>
        </w:rPr>
      </w:pPr>
    </w:p>
    <w:p w14:paraId="52316A48" w14:textId="77777777" w:rsidR="00C4628E" w:rsidRDefault="00C4628E" w:rsidP="007177B7">
      <w:pPr>
        <w:pStyle w:val="BodyText"/>
        <w:spacing w:line="360" w:lineRule="auto"/>
        <w:rPr>
          <w:sz w:val="20"/>
        </w:rPr>
      </w:pPr>
    </w:p>
    <w:p w14:paraId="127631DE" w14:textId="77777777" w:rsidR="00C4628E" w:rsidRDefault="00C4628E" w:rsidP="007177B7">
      <w:pPr>
        <w:pStyle w:val="BodyText"/>
        <w:spacing w:line="360" w:lineRule="auto"/>
        <w:rPr>
          <w:sz w:val="20"/>
        </w:rPr>
      </w:pPr>
    </w:p>
    <w:p w14:paraId="1ED8BF6D" w14:textId="77777777" w:rsidR="00C4628E" w:rsidRDefault="00C4628E" w:rsidP="007177B7">
      <w:pPr>
        <w:pStyle w:val="BodyText"/>
        <w:spacing w:line="360" w:lineRule="auto"/>
        <w:rPr>
          <w:sz w:val="20"/>
        </w:rPr>
      </w:pPr>
    </w:p>
    <w:p w14:paraId="05C91C8C" w14:textId="77777777" w:rsidR="00C4628E" w:rsidRDefault="00C4628E" w:rsidP="007177B7">
      <w:pPr>
        <w:pStyle w:val="BodyText"/>
        <w:spacing w:line="360" w:lineRule="auto"/>
        <w:rPr>
          <w:sz w:val="20"/>
        </w:rPr>
      </w:pPr>
    </w:p>
    <w:p w14:paraId="5F2FE1BD" w14:textId="77777777" w:rsidR="00C4628E" w:rsidRDefault="00C4628E" w:rsidP="007177B7">
      <w:pPr>
        <w:pStyle w:val="BodyText"/>
        <w:spacing w:line="360" w:lineRule="auto"/>
        <w:rPr>
          <w:sz w:val="20"/>
        </w:rPr>
      </w:pPr>
    </w:p>
    <w:p w14:paraId="0E4B3765" w14:textId="77777777" w:rsidR="00C4628E" w:rsidRDefault="00C4628E" w:rsidP="007177B7">
      <w:pPr>
        <w:pStyle w:val="BodyText"/>
        <w:spacing w:line="360" w:lineRule="auto"/>
        <w:rPr>
          <w:sz w:val="20"/>
        </w:rPr>
      </w:pPr>
    </w:p>
    <w:p w14:paraId="5F63B2E1" w14:textId="77777777" w:rsidR="00C4628E" w:rsidRDefault="00C4628E" w:rsidP="007177B7">
      <w:pPr>
        <w:pStyle w:val="BodyText"/>
        <w:spacing w:line="360" w:lineRule="auto"/>
        <w:rPr>
          <w:sz w:val="20"/>
        </w:rPr>
      </w:pPr>
    </w:p>
    <w:p w14:paraId="33136521" w14:textId="77777777" w:rsidR="00C4628E" w:rsidRDefault="00C4628E" w:rsidP="007177B7">
      <w:pPr>
        <w:pStyle w:val="BodyText"/>
        <w:spacing w:line="360" w:lineRule="auto"/>
        <w:rPr>
          <w:sz w:val="20"/>
        </w:rPr>
      </w:pPr>
    </w:p>
    <w:p w14:paraId="57469417" w14:textId="77777777" w:rsidR="00C4628E" w:rsidRDefault="00C4628E" w:rsidP="007177B7">
      <w:pPr>
        <w:pStyle w:val="BodyText"/>
        <w:spacing w:line="360" w:lineRule="auto"/>
        <w:rPr>
          <w:sz w:val="20"/>
        </w:rPr>
      </w:pPr>
    </w:p>
    <w:p w14:paraId="69189E48" w14:textId="77777777" w:rsidR="00C4628E" w:rsidRDefault="00C4628E" w:rsidP="007177B7">
      <w:pPr>
        <w:pStyle w:val="BodyText"/>
        <w:spacing w:line="360" w:lineRule="auto"/>
        <w:rPr>
          <w:sz w:val="20"/>
        </w:rPr>
      </w:pPr>
    </w:p>
    <w:p w14:paraId="32B09076" w14:textId="77777777" w:rsidR="00C4628E" w:rsidRDefault="00C4628E" w:rsidP="007177B7">
      <w:pPr>
        <w:pStyle w:val="BodyText"/>
        <w:spacing w:line="360" w:lineRule="auto"/>
        <w:rPr>
          <w:sz w:val="20"/>
        </w:rPr>
      </w:pPr>
    </w:p>
    <w:p w14:paraId="1218E3AF" w14:textId="77777777" w:rsidR="00C4628E" w:rsidRDefault="00C4628E" w:rsidP="007177B7">
      <w:pPr>
        <w:pStyle w:val="BodyText"/>
        <w:spacing w:line="360" w:lineRule="auto"/>
        <w:rPr>
          <w:sz w:val="20"/>
        </w:rPr>
      </w:pPr>
    </w:p>
    <w:p w14:paraId="305445FA" w14:textId="77777777" w:rsidR="00C4628E" w:rsidRDefault="00C4628E" w:rsidP="007177B7">
      <w:pPr>
        <w:pStyle w:val="BodyText"/>
        <w:spacing w:line="360" w:lineRule="auto"/>
        <w:rPr>
          <w:sz w:val="20"/>
        </w:rPr>
      </w:pPr>
    </w:p>
    <w:p w14:paraId="14327291" w14:textId="77777777" w:rsidR="00C4628E" w:rsidRDefault="00C4628E" w:rsidP="007177B7">
      <w:pPr>
        <w:pStyle w:val="BodyText"/>
        <w:spacing w:line="360" w:lineRule="auto"/>
        <w:rPr>
          <w:sz w:val="20"/>
        </w:rPr>
      </w:pPr>
    </w:p>
    <w:p w14:paraId="3C3DAFDD" w14:textId="2819D35B" w:rsidR="00C4628E" w:rsidRDefault="00C4628E" w:rsidP="007177B7">
      <w:pPr>
        <w:pStyle w:val="BodyText"/>
        <w:spacing w:line="360" w:lineRule="auto"/>
        <w:rPr>
          <w:sz w:val="20"/>
        </w:rPr>
      </w:pPr>
    </w:p>
    <w:p w14:paraId="3DE9FC9C" w14:textId="77777777" w:rsidR="003321B3" w:rsidRDefault="003321B3" w:rsidP="007177B7">
      <w:pPr>
        <w:pStyle w:val="BodyText"/>
        <w:spacing w:line="360" w:lineRule="auto"/>
        <w:jc w:val="both"/>
      </w:pPr>
    </w:p>
    <w:sectPr w:rsidR="003321B3" w:rsidSect="0076333E">
      <w:headerReference w:type="default" r:id="rId8"/>
      <w:headerReference w:type="first" r:id="rId9"/>
      <w:footerReference w:type="first" r:id="rId10"/>
      <w:pgSz w:w="12240" w:h="15840"/>
      <w:pgMar w:top="260" w:right="1260" w:bottom="280" w:left="1280" w:header="432"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3CB5B" w14:textId="77777777" w:rsidR="006E56ED" w:rsidRDefault="006E56ED" w:rsidP="008C4388">
      <w:r>
        <w:separator/>
      </w:r>
    </w:p>
  </w:endnote>
  <w:endnote w:type="continuationSeparator" w:id="0">
    <w:p w14:paraId="58A39D29" w14:textId="77777777" w:rsidR="006E56ED" w:rsidRDefault="006E56ED" w:rsidP="008C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6C56" w14:textId="7B8A4B9F" w:rsidR="00677D15" w:rsidRDefault="00677D15" w:rsidP="00AD4DC3">
    <w:pPr>
      <w:pStyle w:val="Footer"/>
      <w:spacing w:line="36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FC2F9" w14:textId="77777777" w:rsidR="006E56ED" w:rsidRDefault="006E56ED" w:rsidP="008C4388">
      <w:r>
        <w:separator/>
      </w:r>
    </w:p>
  </w:footnote>
  <w:footnote w:type="continuationSeparator" w:id="0">
    <w:p w14:paraId="22FD0B8E" w14:textId="77777777" w:rsidR="006E56ED" w:rsidRDefault="006E56ED" w:rsidP="008C4388">
      <w:r>
        <w:continuationSeparator/>
      </w:r>
    </w:p>
  </w:footnote>
  <w:footnote w:id="1">
    <w:p w14:paraId="5B27F61D" w14:textId="52C2CE3D" w:rsidR="00AD4DC3" w:rsidRPr="00320012" w:rsidRDefault="00AD4DC3" w:rsidP="00320012">
      <w:pPr>
        <w:pStyle w:val="BodyText"/>
        <w:spacing w:line="360" w:lineRule="auto"/>
        <w:ind w:firstLine="720"/>
        <w:jc w:val="both"/>
        <w:rPr>
          <w:sz w:val="20"/>
          <w:szCs w:val="20"/>
        </w:rPr>
      </w:pPr>
      <w:r w:rsidRPr="00320012">
        <w:rPr>
          <w:rStyle w:val="FootnoteReference"/>
          <w:sz w:val="20"/>
          <w:szCs w:val="20"/>
        </w:rPr>
        <w:footnoteRef/>
      </w:r>
      <w:r w:rsidRPr="00320012">
        <w:rPr>
          <w:sz w:val="20"/>
          <w:szCs w:val="20"/>
        </w:rPr>
        <w:t xml:space="preserve"> </w:t>
      </w:r>
      <w:r w:rsidRPr="00320012">
        <w:rPr>
          <w:i/>
          <w:iCs/>
          <w:sz w:val="20"/>
          <w:szCs w:val="20"/>
        </w:rPr>
        <w:t>Application of AEP Texas Inc for a Financing Order</w:t>
      </w:r>
      <w:r w:rsidRPr="00320012">
        <w:rPr>
          <w:sz w:val="20"/>
          <w:szCs w:val="20"/>
        </w:rPr>
        <w:t>, Docket No. 49308, Financing Order (June 17, 2019).</w:t>
      </w:r>
    </w:p>
  </w:footnote>
  <w:footnote w:id="2">
    <w:p w14:paraId="3CAD777B" w14:textId="7B6F34E2" w:rsidR="006541E0" w:rsidRDefault="006541E0" w:rsidP="006541E0">
      <w:pPr>
        <w:pStyle w:val="FootnoteText"/>
        <w:ind w:firstLine="720"/>
      </w:pPr>
      <w:r>
        <w:rPr>
          <w:rStyle w:val="FootnoteReference"/>
        </w:rPr>
        <w:footnoteRef/>
      </w:r>
      <w:r>
        <w:t xml:space="preserve"> </w:t>
      </w:r>
      <w:r w:rsidR="004127DC">
        <w:t xml:space="preserve">Application at </w:t>
      </w:r>
      <w:r w:rsidR="00B010FE">
        <w:t>4</w:t>
      </w:r>
      <w:r w:rsidR="004127DC">
        <w:t>.</w:t>
      </w: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7DDB1" w14:textId="336C37FB" w:rsidR="00CB25E7" w:rsidRDefault="00CB25E7">
    <w:pPr>
      <w:pStyle w:val="Header"/>
      <w:tabs>
        <w:tab w:val="left" w:pos="1980"/>
        <w:tab w:val="left" w:pos="6750"/>
      </w:tabs>
      <w:jc w:val="center"/>
      <w:rPr>
        <w:b/>
        <w:sz w:val="3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CD2" w14:textId="77777777" w:rsidR="00EB1165" w:rsidRDefault="00EB1165" w:rsidP="00EB1165">
    <w:pPr>
      <w:pStyle w:val="Header"/>
      <w:jc w:val="center"/>
      <w:rPr>
        <w:b/>
        <w:i/>
        <w:sz w:val="38"/>
      </w:rPr>
    </w:pPr>
    <w:r>
      <w:rPr>
        <w:b/>
        <w:i/>
        <w:sz w:val="38"/>
      </w:rPr>
      <w:t>Public Utility Commission of Texas</w:t>
    </w:r>
  </w:p>
  <w:p w14:paraId="5B811C96" w14:textId="77777777" w:rsidR="00EB1165" w:rsidRDefault="00EB1165" w:rsidP="00EB1165">
    <w:pPr>
      <w:pStyle w:val="Header"/>
      <w:tabs>
        <w:tab w:val="clear" w:pos="4320"/>
        <w:tab w:val="left" w:pos="1800"/>
        <w:tab w:val="left" w:pos="6840"/>
      </w:tabs>
      <w:spacing w:before="120" w:after="120"/>
      <w:rPr>
        <w:b/>
        <w:sz w:val="12"/>
      </w:rPr>
    </w:pPr>
    <w:r>
      <w:rPr>
        <w:b/>
        <w:sz w:val="12"/>
      </w:rPr>
      <w:tab/>
    </w:r>
    <w:r>
      <w:rPr>
        <w:b/>
        <w:sz w:val="12"/>
        <w:u w:val="single"/>
      </w:rPr>
      <w:tab/>
    </w:r>
  </w:p>
  <w:p w14:paraId="0332A0B4" w14:textId="77777777" w:rsidR="00EB1165" w:rsidRDefault="00EB1165" w:rsidP="00EB1165">
    <w:pPr>
      <w:pStyle w:val="Header"/>
      <w:tabs>
        <w:tab w:val="left" w:pos="1980"/>
        <w:tab w:val="left" w:pos="6750"/>
      </w:tabs>
      <w:jc w:val="center"/>
      <w:rPr>
        <w:b/>
        <w:sz w:val="38"/>
      </w:rPr>
    </w:pPr>
    <w:r>
      <w:rPr>
        <w:b/>
        <w:sz w:val="38"/>
      </w:rPr>
      <w:t>Memorandum</w:t>
    </w:r>
  </w:p>
  <w:p w14:paraId="41CD1323" w14:textId="77777777" w:rsidR="00EB1165" w:rsidRDefault="00EB1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E3DA6"/>
    <w:multiLevelType w:val="hybridMultilevel"/>
    <w:tmpl w:val="99FAAC56"/>
    <w:lvl w:ilvl="0" w:tplc="D200CA36">
      <w:start w:val="1"/>
      <w:numFmt w:val="decimal"/>
      <w:lvlText w:val="%1."/>
      <w:lvlJc w:val="left"/>
      <w:pPr>
        <w:ind w:left="1251" w:hanging="357"/>
        <w:jc w:val="left"/>
      </w:pPr>
      <w:rPr>
        <w:rFonts w:ascii="Times New Roman" w:eastAsia="Times New Roman" w:hAnsi="Times New Roman" w:cs="Times New Roman" w:hint="default"/>
        <w:b w:val="0"/>
        <w:bCs w:val="0"/>
        <w:i w:val="0"/>
        <w:iCs w:val="0"/>
        <w:spacing w:val="0"/>
        <w:w w:val="102"/>
        <w:sz w:val="23"/>
        <w:szCs w:val="23"/>
        <w:lang w:val="en-US" w:eastAsia="en-US" w:bidi="ar-SA"/>
      </w:rPr>
    </w:lvl>
    <w:lvl w:ilvl="1" w:tplc="1E6C77E6">
      <w:numFmt w:val="bullet"/>
      <w:lvlText w:val="•"/>
      <w:lvlJc w:val="left"/>
      <w:pPr>
        <w:ind w:left="2104" w:hanging="357"/>
      </w:pPr>
      <w:rPr>
        <w:rFonts w:hint="default"/>
        <w:lang w:val="en-US" w:eastAsia="en-US" w:bidi="ar-SA"/>
      </w:rPr>
    </w:lvl>
    <w:lvl w:ilvl="2" w:tplc="3F7A8E1A">
      <w:numFmt w:val="bullet"/>
      <w:lvlText w:val="•"/>
      <w:lvlJc w:val="left"/>
      <w:pPr>
        <w:ind w:left="2948" w:hanging="357"/>
      </w:pPr>
      <w:rPr>
        <w:rFonts w:hint="default"/>
        <w:lang w:val="en-US" w:eastAsia="en-US" w:bidi="ar-SA"/>
      </w:rPr>
    </w:lvl>
    <w:lvl w:ilvl="3" w:tplc="1132F3FA">
      <w:numFmt w:val="bullet"/>
      <w:lvlText w:val="•"/>
      <w:lvlJc w:val="left"/>
      <w:pPr>
        <w:ind w:left="3792" w:hanging="357"/>
      </w:pPr>
      <w:rPr>
        <w:rFonts w:hint="default"/>
        <w:lang w:val="en-US" w:eastAsia="en-US" w:bidi="ar-SA"/>
      </w:rPr>
    </w:lvl>
    <w:lvl w:ilvl="4" w:tplc="507409DC">
      <w:numFmt w:val="bullet"/>
      <w:lvlText w:val="•"/>
      <w:lvlJc w:val="left"/>
      <w:pPr>
        <w:ind w:left="4636" w:hanging="357"/>
      </w:pPr>
      <w:rPr>
        <w:rFonts w:hint="default"/>
        <w:lang w:val="en-US" w:eastAsia="en-US" w:bidi="ar-SA"/>
      </w:rPr>
    </w:lvl>
    <w:lvl w:ilvl="5" w:tplc="B4883B02">
      <w:numFmt w:val="bullet"/>
      <w:lvlText w:val="•"/>
      <w:lvlJc w:val="left"/>
      <w:pPr>
        <w:ind w:left="5480" w:hanging="357"/>
      </w:pPr>
      <w:rPr>
        <w:rFonts w:hint="default"/>
        <w:lang w:val="en-US" w:eastAsia="en-US" w:bidi="ar-SA"/>
      </w:rPr>
    </w:lvl>
    <w:lvl w:ilvl="6" w:tplc="0BCE581A">
      <w:numFmt w:val="bullet"/>
      <w:lvlText w:val="•"/>
      <w:lvlJc w:val="left"/>
      <w:pPr>
        <w:ind w:left="6324" w:hanging="357"/>
      </w:pPr>
      <w:rPr>
        <w:rFonts w:hint="default"/>
        <w:lang w:val="en-US" w:eastAsia="en-US" w:bidi="ar-SA"/>
      </w:rPr>
    </w:lvl>
    <w:lvl w:ilvl="7" w:tplc="3B70B350">
      <w:numFmt w:val="bullet"/>
      <w:lvlText w:val="•"/>
      <w:lvlJc w:val="left"/>
      <w:pPr>
        <w:ind w:left="7168" w:hanging="357"/>
      </w:pPr>
      <w:rPr>
        <w:rFonts w:hint="default"/>
        <w:lang w:val="en-US" w:eastAsia="en-US" w:bidi="ar-SA"/>
      </w:rPr>
    </w:lvl>
    <w:lvl w:ilvl="8" w:tplc="996C4DC6">
      <w:numFmt w:val="bullet"/>
      <w:lvlText w:val="•"/>
      <w:lvlJc w:val="left"/>
      <w:pPr>
        <w:ind w:left="8012" w:hanging="357"/>
      </w:pPr>
      <w:rPr>
        <w:rFonts w:hint="default"/>
        <w:lang w:val="en-US" w:eastAsia="en-US" w:bidi="ar-SA"/>
      </w:rPr>
    </w:lvl>
  </w:abstractNum>
  <w:num w:numId="1" w16cid:durableId="2020768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388"/>
    <w:rsid w:val="00020742"/>
    <w:rsid w:val="000327B3"/>
    <w:rsid w:val="000404BD"/>
    <w:rsid w:val="00043046"/>
    <w:rsid w:val="00047D52"/>
    <w:rsid w:val="00070CCD"/>
    <w:rsid w:val="000759BC"/>
    <w:rsid w:val="0008662A"/>
    <w:rsid w:val="000C6DDF"/>
    <w:rsid w:val="00105582"/>
    <w:rsid w:val="00114A3A"/>
    <w:rsid w:val="00125503"/>
    <w:rsid w:val="00126509"/>
    <w:rsid w:val="00127806"/>
    <w:rsid w:val="0016103F"/>
    <w:rsid w:val="00176810"/>
    <w:rsid w:val="001C4D64"/>
    <w:rsid w:val="001D3969"/>
    <w:rsid w:val="001D7CD5"/>
    <w:rsid w:val="00201F24"/>
    <w:rsid w:val="002118E5"/>
    <w:rsid w:val="002461F9"/>
    <w:rsid w:val="002557EF"/>
    <w:rsid w:val="0027501B"/>
    <w:rsid w:val="00275785"/>
    <w:rsid w:val="00292C61"/>
    <w:rsid w:val="002A4132"/>
    <w:rsid w:val="002C3348"/>
    <w:rsid w:val="003037B3"/>
    <w:rsid w:val="00320012"/>
    <w:rsid w:val="003321B3"/>
    <w:rsid w:val="00364C21"/>
    <w:rsid w:val="003A48E9"/>
    <w:rsid w:val="003B022E"/>
    <w:rsid w:val="003C7B4B"/>
    <w:rsid w:val="003D2662"/>
    <w:rsid w:val="003E58E5"/>
    <w:rsid w:val="004127DC"/>
    <w:rsid w:val="004245D5"/>
    <w:rsid w:val="004320E7"/>
    <w:rsid w:val="00473BC6"/>
    <w:rsid w:val="0048231D"/>
    <w:rsid w:val="00490D50"/>
    <w:rsid w:val="00491F49"/>
    <w:rsid w:val="005055D9"/>
    <w:rsid w:val="00514C7D"/>
    <w:rsid w:val="00546AF3"/>
    <w:rsid w:val="0055633D"/>
    <w:rsid w:val="00563656"/>
    <w:rsid w:val="005E2792"/>
    <w:rsid w:val="0062712E"/>
    <w:rsid w:val="00643FDA"/>
    <w:rsid w:val="006541E0"/>
    <w:rsid w:val="00674929"/>
    <w:rsid w:val="00675FF1"/>
    <w:rsid w:val="00677D15"/>
    <w:rsid w:val="006976A2"/>
    <w:rsid w:val="006E56ED"/>
    <w:rsid w:val="006F0E34"/>
    <w:rsid w:val="007177B7"/>
    <w:rsid w:val="0073590A"/>
    <w:rsid w:val="00746081"/>
    <w:rsid w:val="00750AD7"/>
    <w:rsid w:val="0076333E"/>
    <w:rsid w:val="00774D4F"/>
    <w:rsid w:val="007A4186"/>
    <w:rsid w:val="007A7FF0"/>
    <w:rsid w:val="007B2928"/>
    <w:rsid w:val="007B7173"/>
    <w:rsid w:val="007D2957"/>
    <w:rsid w:val="00877B5B"/>
    <w:rsid w:val="00890F0A"/>
    <w:rsid w:val="008A0A00"/>
    <w:rsid w:val="008B7218"/>
    <w:rsid w:val="008C4388"/>
    <w:rsid w:val="00900967"/>
    <w:rsid w:val="00937922"/>
    <w:rsid w:val="009C381F"/>
    <w:rsid w:val="009C585E"/>
    <w:rsid w:val="00A63C2C"/>
    <w:rsid w:val="00AC149E"/>
    <w:rsid w:val="00AD4DC3"/>
    <w:rsid w:val="00AE7A34"/>
    <w:rsid w:val="00AF642A"/>
    <w:rsid w:val="00B010FE"/>
    <w:rsid w:val="00B904D3"/>
    <w:rsid w:val="00BB08E9"/>
    <w:rsid w:val="00BB5185"/>
    <w:rsid w:val="00BC4D6A"/>
    <w:rsid w:val="00BE1991"/>
    <w:rsid w:val="00C03832"/>
    <w:rsid w:val="00C22580"/>
    <w:rsid w:val="00C43FAC"/>
    <w:rsid w:val="00C4628E"/>
    <w:rsid w:val="00C9687A"/>
    <w:rsid w:val="00CB25E7"/>
    <w:rsid w:val="00CC1993"/>
    <w:rsid w:val="00D16D69"/>
    <w:rsid w:val="00D5230D"/>
    <w:rsid w:val="00D57375"/>
    <w:rsid w:val="00D70553"/>
    <w:rsid w:val="00D95869"/>
    <w:rsid w:val="00D95A44"/>
    <w:rsid w:val="00DA7AB7"/>
    <w:rsid w:val="00DB6A64"/>
    <w:rsid w:val="00DC6946"/>
    <w:rsid w:val="00E31842"/>
    <w:rsid w:val="00E374A1"/>
    <w:rsid w:val="00EB1165"/>
    <w:rsid w:val="00EE48C3"/>
    <w:rsid w:val="00F23D3F"/>
    <w:rsid w:val="00F33393"/>
    <w:rsid w:val="00F85461"/>
    <w:rsid w:val="00FC2055"/>
    <w:rsid w:val="00FD3488"/>
    <w:rsid w:val="00FD65A3"/>
    <w:rsid w:val="00FE743E"/>
    <w:rsid w:val="00FE7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2C2A1"/>
  <w15:chartTrackingRefBased/>
  <w15:docId w15:val="{379A1782-086D-4D54-BBBF-409EFECF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388"/>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link w:val="Heading1Char"/>
    <w:uiPriority w:val="9"/>
    <w:qFormat/>
    <w:rsid w:val="008C4388"/>
    <w:pPr>
      <w:ind w:left="161"/>
      <w:outlineLvl w:val="0"/>
    </w:pPr>
    <w:rPr>
      <w:b/>
      <w:bCs/>
      <w:sz w:val="24"/>
      <w:szCs w:val="24"/>
      <w:u w:val="single" w:color="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C4388"/>
    <w:rPr>
      <w:sz w:val="24"/>
      <w:szCs w:val="24"/>
    </w:rPr>
  </w:style>
  <w:style w:type="character" w:customStyle="1" w:styleId="BodyTextChar">
    <w:name w:val="Body Text Char"/>
    <w:basedOn w:val="DefaultParagraphFont"/>
    <w:link w:val="BodyText"/>
    <w:uiPriority w:val="1"/>
    <w:rsid w:val="008C4388"/>
    <w:rPr>
      <w:rFonts w:ascii="Times New Roman" w:eastAsia="Times New Roman" w:hAnsi="Times New Roman" w:cs="Times New Roman"/>
      <w:kern w:val="0"/>
      <w:sz w:val="24"/>
      <w:szCs w:val="24"/>
      <w14:ligatures w14:val="none"/>
    </w:rPr>
  </w:style>
  <w:style w:type="paragraph" w:styleId="ListParagraph">
    <w:name w:val="List Paragraph"/>
    <w:basedOn w:val="Normal"/>
    <w:uiPriority w:val="1"/>
    <w:qFormat/>
    <w:rsid w:val="008C4388"/>
    <w:pPr>
      <w:ind w:left="1244" w:hanging="608"/>
    </w:pPr>
  </w:style>
  <w:style w:type="paragraph" w:styleId="Header">
    <w:name w:val="header"/>
    <w:basedOn w:val="Normal"/>
    <w:link w:val="HeaderChar"/>
    <w:rsid w:val="008C4388"/>
    <w:pPr>
      <w:widowControl/>
      <w:tabs>
        <w:tab w:val="center" w:pos="4320"/>
        <w:tab w:val="right" w:pos="8640"/>
      </w:tabs>
      <w:autoSpaceDE/>
      <w:autoSpaceDN/>
    </w:pPr>
    <w:rPr>
      <w:sz w:val="20"/>
      <w:szCs w:val="20"/>
    </w:rPr>
  </w:style>
  <w:style w:type="character" w:customStyle="1" w:styleId="HeaderChar">
    <w:name w:val="Header Char"/>
    <w:basedOn w:val="DefaultParagraphFont"/>
    <w:link w:val="Header"/>
    <w:uiPriority w:val="99"/>
    <w:rsid w:val="008C4388"/>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8C4388"/>
    <w:pPr>
      <w:widowControl/>
      <w:tabs>
        <w:tab w:val="center" w:pos="4320"/>
        <w:tab w:val="right" w:pos="8640"/>
      </w:tabs>
      <w:autoSpaceDE/>
      <w:autoSpaceDN/>
    </w:pPr>
    <w:rPr>
      <w:sz w:val="20"/>
      <w:szCs w:val="20"/>
    </w:rPr>
  </w:style>
  <w:style w:type="character" w:customStyle="1" w:styleId="FooterChar">
    <w:name w:val="Footer Char"/>
    <w:basedOn w:val="DefaultParagraphFont"/>
    <w:link w:val="Footer"/>
    <w:uiPriority w:val="99"/>
    <w:rsid w:val="008C4388"/>
    <w:rPr>
      <w:rFonts w:ascii="Times New Roman" w:eastAsia="Times New Roman" w:hAnsi="Times New Roman" w:cs="Times New Roman"/>
      <w:kern w:val="0"/>
      <w:sz w:val="20"/>
      <w:szCs w:val="20"/>
      <w14:ligatures w14:val="none"/>
    </w:rPr>
  </w:style>
  <w:style w:type="character" w:customStyle="1" w:styleId="Heading1Char">
    <w:name w:val="Heading 1 Char"/>
    <w:basedOn w:val="DefaultParagraphFont"/>
    <w:link w:val="Heading1"/>
    <w:uiPriority w:val="9"/>
    <w:rsid w:val="008C4388"/>
    <w:rPr>
      <w:rFonts w:ascii="Times New Roman" w:eastAsia="Times New Roman" w:hAnsi="Times New Roman" w:cs="Times New Roman"/>
      <w:b/>
      <w:bCs/>
      <w:kern w:val="0"/>
      <w:sz w:val="24"/>
      <w:szCs w:val="24"/>
      <w:u w:val="single" w:color="000000"/>
      <w14:ligatures w14:val="none"/>
    </w:rPr>
  </w:style>
  <w:style w:type="paragraph" w:styleId="FootnoteText">
    <w:name w:val="footnote text"/>
    <w:basedOn w:val="Normal"/>
    <w:link w:val="FootnoteTextChar"/>
    <w:uiPriority w:val="99"/>
    <w:semiHidden/>
    <w:unhideWhenUsed/>
    <w:rsid w:val="00AD4DC3"/>
    <w:rPr>
      <w:sz w:val="20"/>
      <w:szCs w:val="20"/>
    </w:rPr>
  </w:style>
  <w:style w:type="character" w:customStyle="1" w:styleId="FootnoteTextChar">
    <w:name w:val="Footnote Text Char"/>
    <w:basedOn w:val="DefaultParagraphFont"/>
    <w:link w:val="FootnoteText"/>
    <w:uiPriority w:val="99"/>
    <w:semiHidden/>
    <w:rsid w:val="00AD4DC3"/>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AD4D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F0BC0-9A26-47A4-85FA-D291712A3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Gage Holt</dc:creator>
  <cp:keywords/>
  <dc:description/>
  <cp:lastModifiedBy>David Berlin</cp:lastModifiedBy>
  <cp:revision>4</cp:revision>
  <dcterms:created xsi:type="dcterms:W3CDTF">2025-05-23T16:44:00Z</dcterms:created>
  <dcterms:modified xsi:type="dcterms:W3CDTF">2025-05-30T13:56:00Z</dcterms:modified>
</cp:coreProperties>
</file>